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7C" w:rsidRDefault="00BC437C" w:rsidP="00BC43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Государственной итоговой аттестации выпускников 9-х классов</w:t>
      </w:r>
    </w:p>
    <w:p w:rsidR="00BC437C" w:rsidRDefault="00BC437C" w:rsidP="00BC43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2021-2022 учебного года.</w:t>
      </w: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Использование сведений о результатах ОГЭ и ГВЭ дает основания для принятия управленческих решений администрации школы по совершенствованию системы контроля качества образования и подготовки обучающихся к ГИА.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Согласно Закону Российской Федерации «Об образовании в Российской Федерации» (№ 273-ФЗ) освоение общеобразовательных программ среднего общего образования и основного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выпускников 2021-2022 учебного года проведена на основании нормативных документов федерального, регионального, муниципального и школьного уровней</w:t>
      </w:r>
      <w:proofErr w:type="gramEnd"/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Учащиеся, родители и педагогический коллектив были ознакомлены с нормативно-правовой базой, порядком проведения экзаменов форме ОГЭ и ГВЭ на инструктивно-методических совещаниях, родительских собраниях, индивидуальных беседах.</w:t>
      </w: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информационно-разъяснительной работы была размещена необходимая информация на сайте школы, были оформлены школьные стенды по итоговой аттестации для 9-х и 11-х классов, предметные стенды (уголки) в кабинетах.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кабинете заместителя директора, отвечающего за подготовку к ГИА, находились папки с документами и рекомендациями в помощь выпускникам, учителям  и родителям, подготовлены выборки по основным сведениям о ГИА и размещены на школьном сайте.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школе было организовано обучение выпускников правилам заполнения бланков регистрации, бланков ответов № 1, № 2, дополнительных бланков ответов № 2. Все протоколы проведения информационно - разъяснительной работы с родителями, выпускниками, педагогическими работниками оформлены в соответствии с требованиями и сроками проведения, подписи и даты проведения проставлены, в протоколах собраний указаны конкретные пункты документов.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работал в течение учебного года на составляющие готовности учащихся к прохождению ГИА:</w:t>
      </w:r>
    </w:p>
    <w:p w:rsidR="00BC437C" w:rsidRDefault="00BC437C" w:rsidP="00BC437C">
      <w:pPr>
        <w:pStyle w:val="a3"/>
        <w:spacing w:line="276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информационная готовность (информационно-разъяснительная работа со всеми участниками образовательного процесса);</w:t>
      </w:r>
    </w:p>
    <w:p w:rsidR="00BC437C" w:rsidRDefault="00BC437C" w:rsidP="00BC437C">
      <w:pPr>
        <w:pStyle w:val="a3"/>
        <w:spacing w:line="276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предметная готовность (качество подготовки по предметам, умения работать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демоверсиями);</w:t>
      </w:r>
    </w:p>
    <w:p w:rsidR="00BC437C" w:rsidRDefault="00BC437C" w:rsidP="00BC437C">
      <w:pPr>
        <w:pStyle w:val="a3"/>
        <w:spacing w:line="276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справка составлена на основании</w:t>
      </w: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анализа таблиц первичной информации:</w:t>
      </w:r>
    </w:p>
    <w:p w:rsidR="00BC437C" w:rsidRDefault="00BC437C" w:rsidP="00BC437C">
      <w:pPr>
        <w:pStyle w:val="a3"/>
        <w:spacing w:line="276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об учащихся 9-х классов, обучающихся в школе;</w:t>
      </w:r>
    </w:p>
    <w:p w:rsidR="00BC437C" w:rsidRDefault="00BC437C" w:rsidP="00BC437C">
      <w:pPr>
        <w:pStyle w:val="a3"/>
        <w:spacing w:line="276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протоколы экзаменов;</w:t>
      </w:r>
    </w:p>
    <w:p w:rsidR="00BC437C" w:rsidRDefault="00BC437C" w:rsidP="00BC437C">
      <w:pPr>
        <w:pStyle w:val="a3"/>
        <w:spacing w:line="276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результатов ОГЭ.</w:t>
      </w: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2021-2022 учебном году в школе был разработан конкретный план мероприятий («Дорожная карта», утвержден приказом директора школы), направленный на тщательную подготовку к ЕГЭ и ОГЭ.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 плану работы школы были проведены родительские собрания в 9 и 11 классах, а так же собрания учащихся с обсуждением и разъяснением основных положений </w:t>
      </w:r>
      <w:r>
        <w:rPr>
          <w:rFonts w:ascii="Times New Roman" w:hAnsi="Times New Roman" w:cs="Times New Roman"/>
          <w:sz w:val="28"/>
          <w:szCs w:val="28"/>
        </w:rPr>
        <w:t>Порядка проведения государственной итоговой аттестации по образовательным программам среднего общего образования" (Приказ Министерства образования и науки Российской Федерации от 7.11.2018 № 190/1512 "Об утверждении Порядка проведения государственной итоговой аттестации по образовательным программам среднего общего образования")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основных положений </w:t>
      </w:r>
      <w:r>
        <w:rPr>
          <w:rFonts w:ascii="Times New Roman" w:hAnsi="Times New Roman" w:cs="Times New Roman"/>
          <w:sz w:val="28"/>
          <w:szCs w:val="28"/>
        </w:rPr>
        <w:t>Порядка проведения государственной итоговой аттестации по образовательным программам основного общего образования (Приказ от 7.11.2018 № 189/1513 "Об утверждении Порядка проведения государственной итоговой аттестации по образовательным программам основного общего образования")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работы учителей-предметников по подготовке к государственной итоговой аттестации были изучение и анализ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проведение индивидуальных и групповых консультаций по предмету, обучение и тренировка по заполнению бланков ответов ОГЭ и ЕГЭ, работа с Интернет-ресурсами, информирование выпускников о последних изменениях и особенностях ОГЭ, ЕГЭ по предмету, приобретение литературы (с грифом ФИПИ) для подготовки к итоговой аттестации.</w:t>
      </w:r>
      <w:proofErr w:type="gramEnd"/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Учителя проводили индивидуальные и групповые консультации по предмету. Расписание дополнительных занятий и консультаций было доведено до сведения родителей обучающихся в сентябре учебного года. 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учебного года вопросы подготовки и проведения экзаменов обсуждались на заседаниях методических объединений. Проводилась проверка документации по прохождению программ и выполнению практической части курсов. </w:t>
      </w: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 - аналитическая деятельность проводилась по следующим направлениям:</w:t>
      </w: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уровня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качества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 xml:space="preserve">9-х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классов, который осуществлялся посредством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последующего анализа контрольных </w:t>
      </w:r>
      <w:r>
        <w:rPr>
          <w:rFonts w:ascii="Times New Roman" w:hAnsi="Times New Roman" w:cs="Times New Roman"/>
          <w:sz w:val="28"/>
          <w:szCs w:val="28"/>
        </w:rPr>
        <w:t xml:space="preserve">работ,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контрольных </w:t>
      </w:r>
      <w:r>
        <w:rPr>
          <w:rFonts w:ascii="Times New Roman" w:hAnsi="Times New Roman" w:cs="Times New Roman"/>
          <w:sz w:val="28"/>
          <w:szCs w:val="28"/>
        </w:rPr>
        <w:t xml:space="preserve">срезов, тестовых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заданий различного </w:t>
      </w:r>
      <w:r>
        <w:rPr>
          <w:rFonts w:ascii="Times New Roman" w:hAnsi="Times New Roman" w:cs="Times New Roman"/>
          <w:sz w:val="28"/>
          <w:szCs w:val="28"/>
        </w:rPr>
        <w:t xml:space="preserve">уровня,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диагностических </w:t>
      </w:r>
      <w:r>
        <w:rPr>
          <w:rFonts w:ascii="Times New Roman" w:hAnsi="Times New Roman" w:cs="Times New Roman"/>
          <w:sz w:val="28"/>
          <w:szCs w:val="28"/>
        </w:rPr>
        <w:t xml:space="preserve">работ,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репетиционного тестирования. </w:t>
      </w: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качества преподавания </w:t>
      </w:r>
      <w:r>
        <w:rPr>
          <w:rFonts w:ascii="Times New Roman" w:hAnsi="Times New Roman" w:cs="Times New Roman"/>
          <w:sz w:val="28"/>
          <w:szCs w:val="28"/>
        </w:rPr>
        <w:t xml:space="preserve">предметов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школьного </w:t>
      </w:r>
      <w:r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путем посещения </w:t>
      </w:r>
      <w:r>
        <w:rPr>
          <w:rFonts w:ascii="Times New Roman" w:hAnsi="Times New Roman" w:cs="Times New Roman"/>
          <w:sz w:val="28"/>
          <w:szCs w:val="28"/>
        </w:rPr>
        <w:t xml:space="preserve">уроков,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проведения тематических </w:t>
      </w:r>
      <w:r>
        <w:rPr>
          <w:rFonts w:ascii="Times New Roman" w:hAnsi="Times New Roman" w:cs="Times New Roman"/>
          <w:sz w:val="28"/>
          <w:szCs w:val="28"/>
        </w:rPr>
        <w:t xml:space="preserve">проверок со стороны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школы.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итогам посещений уроков,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 xml:space="preserve">проверок проводились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собеседования </w:t>
      </w:r>
      <w:r>
        <w:rPr>
          <w:rFonts w:ascii="Times New Roman" w:hAnsi="Times New Roman" w:cs="Times New Roman"/>
          <w:sz w:val="28"/>
          <w:szCs w:val="28"/>
        </w:rPr>
        <w:t xml:space="preserve">с учителями, были даны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конкретные 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использованию эффективных </w:t>
      </w:r>
      <w:r>
        <w:rPr>
          <w:rFonts w:ascii="Times New Roman" w:hAnsi="Times New Roman" w:cs="Times New Roman"/>
          <w:sz w:val="28"/>
          <w:szCs w:val="28"/>
        </w:rPr>
        <w:t xml:space="preserve">методик 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технологий преподавания </w:t>
      </w:r>
      <w:r>
        <w:rPr>
          <w:rFonts w:ascii="Times New Roman" w:hAnsi="Times New Roman" w:cs="Times New Roman"/>
          <w:sz w:val="28"/>
          <w:szCs w:val="28"/>
        </w:rPr>
        <w:t xml:space="preserve">в выпускных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классах, способствующих повышению </w:t>
      </w:r>
      <w:r>
        <w:rPr>
          <w:rFonts w:ascii="Times New Roman" w:hAnsi="Times New Roman" w:cs="Times New Roman"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spacing w:val="2"/>
          <w:sz w:val="28"/>
          <w:szCs w:val="28"/>
        </w:rPr>
        <w:t>качества знаний учащихся;</w:t>
      </w: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выполнения программного материала по предметам школьного учебного плана.</w:t>
      </w: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ведения классных журналов. Контроль успеваемости и посещаемости обучающихся 9 и 11 классов.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Предварительный контроль готовности к итоговой аттестации выпускников основной  школы проводился в виде тренировочных и диагностических работ: 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введением особых указаний и организацией особых правил сдачи ОГЭ в этом году, выпускники 9-х классов сдавали только два экзамен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математика и русский язык) в формате ОГЭ и один экзамен в формате контрольной работы по обществознанию. В школе были проведены пробные экзамены и диагностические работы по данным предметам.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C437C" w:rsidTr="00BC437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shd w:val="clear" w:color="auto" w:fill="F9F9F9"/>
              <w:tblCellMar>
                <w:left w:w="0" w:type="dxa"/>
                <w:right w:w="0" w:type="dxa"/>
              </w:tblCellMar>
              <w:tblLook w:val="04A0"/>
            </w:tblPr>
            <w:tblGrid>
              <w:gridCol w:w="2541"/>
              <w:gridCol w:w="6814"/>
            </w:tblGrid>
            <w:tr w:rsidR="00BC437C">
              <w:tc>
                <w:tcPr>
                  <w:tcW w:w="2445" w:type="dxa"/>
                  <w:shd w:val="clear" w:color="auto" w:fill="F9F9F9"/>
                  <w:vAlign w:val="center"/>
                  <w:hideMark/>
                </w:tcPr>
                <w:p w:rsidR="00BC437C" w:rsidRDefault="00BC437C">
                  <w:pPr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6555" w:type="dxa"/>
                  <w:shd w:val="clear" w:color="auto" w:fill="F9F9F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14"/>
                  </w:tblGrid>
                  <w:tr w:rsidR="00BC437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C437C" w:rsidRDefault="00BC437C">
                        <w:pPr>
                          <w:rPr>
                            <w:rFonts w:eastAsiaTheme="minorEastAsia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BC437C" w:rsidRDefault="00BC437C">
                  <w:pPr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</w:tbl>
          <w:p w:rsidR="00BC437C" w:rsidRDefault="00BC437C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Результаты пробных экзаменов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 формате ОГЭ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8930" w:type="dxa"/>
        <w:tblInd w:w="817" w:type="dxa"/>
        <w:tblLook w:val="04A0"/>
      </w:tblPr>
      <w:tblGrid>
        <w:gridCol w:w="1297"/>
        <w:gridCol w:w="2268"/>
        <w:gridCol w:w="2126"/>
        <w:gridCol w:w="1730"/>
        <w:gridCol w:w="1509"/>
      </w:tblGrid>
      <w:tr w:rsidR="00BC437C" w:rsidTr="00BC437C">
        <w:trPr>
          <w:trHeight w:val="3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участников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Средний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Получили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двойки </w:t>
            </w:r>
          </w:p>
        </w:tc>
      </w:tr>
      <w:tr w:rsidR="00BC437C" w:rsidTr="00BC437C">
        <w:trPr>
          <w:trHeight w:val="2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ОГЭ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C437C" w:rsidTr="00BC437C">
        <w:trPr>
          <w:trHeight w:val="2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jc w:val="center"/>
        <w:rPr>
          <w:rFonts w:ascii="Times New Roman" w:hAnsi="Times New Roman" w:cs="Times New Roman"/>
          <w:vanish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jc w:val="center"/>
        <w:rPr>
          <w:rFonts w:ascii="Times New Roman" w:hAnsi="Times New Roman" w:cs="Times New Roman"/>
          <w:vanish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Анализ результатов итоговой аттестации 2021-2022 учебного года.</w:t>
      </w:r>
    </w:p>
    <w:p w:rsidR="00BC437C" w:rsidRDefault="00BC437C" w:rsidP="00BC437C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 классы</w:t>
      </w: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учащиеся 9 классов – 80 выпускников, были допущены к государственной итоговой аттестации.</w:t>
      </w: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классов – 4 (80обучающихся);</w:t>
      </w:r>
    </w:p>
    <w:p w:rsidR="00BC437C" w:rsidRDefault="00BC437C" w:rsidP="00BC437C">
      <w:pPr>
        <w:pStyle w:val="a3"/>
        <w:spacing w:line="276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успевают на «5» - 2 обучающихся (2 %)</w:t>
      </w:r>
    </w:p>
    <w:p w:rsidR="00BC437C" w:rsidRDefault="00BC437C" w:rsidP="00BC437C">
      <w:pPr>
        <w:pStyle w:val="a3"/>
        <w:spacing w:line="276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успевают на «4» и «5» –  17 (21%)</w:t>
      </w:r>
    </w:p>
    <w:p w:rsidR="00BC437C" w:rsidRDefault="00BC437C" w:rsidP="00BC437C">
      <w:pPr>
        <w:pStyle w:val="a3"/>
        <w:spacing w:line="276" w:lineRule="auto"/>
        <w:rPr>
          <w:rFonts w:ascii="Times New Roman" w:eastAsia="Symbol" w:hAnsi="Times New Roman" w:cs="Times New Roman"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допущенных к ОГЭ – нет;</w:t>
      </w: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планировалась сдача  ГВЭ –4 обучающихся с 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З(</w:t>
      </w:r>
      <w:proofErr w:type="gramEnd"/>
      <w:r>
        <w:rPr>
          <w:rFonts w:ascii="Times New Roman" w:hAnsi="Times New Roman" w:cs="Times New Roman"/>
          <w:sz w:val="28"/>
          <w:szCs w:val="28"/>
        </w:rPr>
        <w:t>русский язык по выбору), 4 обучающихся с ОВЗ сдавали ОГЭ ( русский язык и математика)</w:t>
      </w:r>
    </w:p>
    <w:p w:rsidR="00BC437C" w:rsidRDefault="00BC437C" w:rsidP="00BC437C">
      <w:pPr>
        <w:pStyle w:val="a3"/>
        <w:spacing w:line="276" w:lineRule="auto"/>
        <w:rPr>
          <w:rFonts w:ascii="Times New Roman" w:eastAsia="Symbol" w:hAnsi="Times New Roman" w:cs="Times New Roman"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приказа Министерства просвещения Российской Федерации и Федеральной службы по надзору в сфере образования и науки (РОСОБРНАДЗОР) № 104/306 от 16.03.2022 «Об особенностях проведения государственной итоговой аттестации по программам основного общего образования в 2022 году» Порядок проведения государственной итоговой аттестации по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(РОСОБРНАДЗОР) от 7 ноября 2018 года № 189/1513, в части организации и проведения ГИА-9, результаты которой являются основанием для  выдачи аттестата об основном общем образовании, не применяется.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участникам ГИА-9 относятся 80 обучающихся 9-х классов не имеющие академической задолженности, в полном объеме выполнившие учебный план или индивидуальный учебный план (имеющие годовые отметки по всем предметам учебного плана не ниже удовлетворительных), подавшие заявление на участие в ГИА, в установленный п.12 Порядка срок, имеющие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 «зачет» за итоговое собеседование по русскому языку и допущенные в 2022 г.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ГИА.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по образовательным программам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основного общего образования проводится в формах основного государственного экзамена и государственного выпускного экзамена по русскому языку и математике,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признаются результатами государственной итоговой  аттестации по образовательным программам основного общего образования и являются основанием для выдачи аттестата об основном общем образовании путем выставления по всем предметам учебного плана, изучавшимся в 9 классе, итоговых отметок,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как среднее арифметическое четвертных отметок и экзаменационных оценок по основным предметам.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участников ГИА с ОВЗ и детей-инвалидов ГИА проводится по их желанию по двум обязательным предметам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83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849"/>
        <w:gridCol w:w="850"/>
        <w:gridCol w:w="849"/>
        <w:gridCol w:w="709"/>
        <w:gridCol w:w="680"/>
        <w:gridCol w:w="1037"/>
        <w:gridCol w:w="872"/>
      </w:tblGrid>
      <w:tr w:rsidR="00BC437C" w:rsidTr="00BC437C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Учебные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прдметы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обр.</w:t>
            </w:r>
          </w:p>
        </w:tc>
      </w:tr>
      <w:tr w:rsidR="00BC437C" w:rsidTr="00BC437C">
        <w:trPr>
          <w:trHeight w:val="2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48%</w:t>
            </w:r>
          </w:p>
        </w:tc>
      </w:tr>
      <w:tr w:rsidR="00BC437C" w:rsidTr="00BC437C">
        <w:trPr>
          <w:trHeight w:val="2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80%</w:t>
            </w:r>
          </w:p>
        </w:tc>
      </w:tr>
      <w:tr w:rsidR="00BC437C" w:rsidTr="00BC437C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23%</w:t>
            </w:r>
          </w:p>
        </w:tc>
      </w:tr>
      <w:tr w:rsidR="00BC437C" w:rsidTr="00BC437C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BC437C" w:rsidTr="00BC437C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  <w:tr w:rsidR="00BC437C" w:rsidTr="00BC437C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BC437C" w:rsidTr="00BC437C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88%</w:t>
            </w:r>
          </w:p>
        </w:tc>
      </w:tr>
    </w:tbl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85" w:type="dxa"/>
        <w:jc w:val="center"/>
        <w:tblInd w:w="138" w:type="dxa"/>
        <w:tblLayout w:type="fixed"/>
        <w:tblLook w:val="04A0"/>
      </w:tblPr>
      <w:tblGrid>
        <w:gridCol w:w="722"/>
        <w:gridCol w:w="708"/>
        <w:gridCol w:w="709"/>
        <w:gridCol w:w="709"/>
        <w:gridCol w:w="1398"/>
        <w:gridCol w:w="762"/>
        <w:gridCol w:w="758"/>
        <w:gridCol w:w="709"/>
        <w:gridCol w:w="709"/>
        <w:gridCol w:w="709"/>
        <w:gridCol w:w="625"/>
        <w:gridCol w:w="407"/>
        <w:gridCol w:w="709"/>
        <w:gridCol w:w="851"/>
      </w:tblGrid>
      <w:tr w:rsidR="00BC437C" w:rsidTr="00BC437C">
        <w:trPr>
          <w:trHeight w:val="450"/>
          <w:jc w:val="center"/>
        </w:trPr>
        <w:tc>
          <w:tcPr>
            <w:tcW w:w="721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page3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8203" w:type="dxa"/>
            <w:gridSpan w:val="11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Ученики</w:t>
            </w:r>
          </w:p>
        </w:tc>
        <w:tc>
          <w:tcPr>
            <w:tcW w:w="709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Ср. балл</w:t>
            </w:r>
          </w:p>
        </w:tc>
        <w:tc>
          <w:tcPr>
            <w:tcW w:w="851" w:type="dxa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Общий 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BC437C" w:rsidTr="00BC437C">
        <w:trPr>
          <w:trHeight w:val="450"/>
          <w:jc w:val="center"/>
        </w:trPr>
        <w:tc>
          <w:tcPr>
            <w:tcW w:w="721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81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Отличники</w:t>
            </w:r>
          </w:p>
        </w:tc>
        <w:tc>
          <w:tcPr>
            <w:tcW w:w="1520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Хорошисты</w:t>
            </w:r>
          </w:p>
        </w:tc>
        <w:tc>
          <w:tcPr>
            <w:tcW w:w="1418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Успевающие</w:t>
            </w:r>
          </w:p>
        </w:tc>
        <w:tc>
          <w:tcPr>
            <w:tcW w:w="1741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Неуспевающие</w:t>
            </w:r>
          </w:p>
        </w:tc>
        <w:tc>
          <w:tcPr>
            <w:tcW w:w="709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C437C" w:rsidTr="00BC437C">
        <w:trPr>
          <w:trHeight w:val="450"/>
          <w:jc w:val="center"/>
        </w:trPr>
        <w:tc>
          <w:tcPr>
            <w:tcW w:w="721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03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C437C" w:rsidTr="00BC437C">
        <w:trPr>
          <w:trHeight w:val="450"/>
          <w:jc w:val="center"/>
        </w:trPr>
        <w:tc>
          <w:tcPr>
            <w:tcW w:w="72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9-а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нет</w:t>
            </w:r>
          </w:p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21%</w:t>
            </w:r>
          </w:p>
        </w:tc>
      </w:tr>
      <w:tr w:rsidR="00BC437C" w:rsidTr="00BC437C">
        <w:trPr>
          <w:trHeight w:val="450"/>
          <w:jc w:val="center"/>
        </w:trPr>
        <w:tc>
          <w:tcPr>
            <w:tcW w:w="72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9-б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1.Ханиева Х.Х.</w:t>
            </w:r>
          </w:p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2.Дзаурова З.Х.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5%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45%</w:t>
            </w:r>
          </w:p>
        </w:tc>
      </w:tr>
      <w:tr w:rsidR="00BC437C" w:rsidTr="00BC437C">
        <w:trPr>
          <w:trHeight w:val="435"/>
          <w:jc w:val="center"/>
        </w:trPr>
        <w:tc>
          <w:tcPr>
            <w:tcW w:w="72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9-в</w:t>
            </w:r>
          </w:p>
        </w:tc>
        <w:tc>
          <w:tcPr>
            <w:tcW w:w="70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0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76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5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19%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95%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1</w:t>
            </w:r>
          </w:p>
        </w:tc>
        <w:tc>
          <w:tcPr>
            <w:tcW w:w="62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5%</w:t>
            </w:r>
          </w:p>
        </w:tc>
        <w:tc>
          <w:tcPr>
            <w:tcW w:w="40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3,1</w:t>
            </w:r>
          </w:p>
        </w:tc>
        <w:tc>
          <w:tcPr>
            <w:tcW w:w="85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19%</w:t>
            </w:r>
          </w:p>
        </w:tc>
      </w:tr>
      <w:tr w:rsidR="00BC437C" w:rsidTr="00BC437C">
        <w:trPr>
          <w:trHeight w:val="435"/>
          <w:jc w:val="center"/>
        </w:trPr>
        <w:tc>
          <w:tcPr>
            <w:tcW w:w="72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9-г</w:t>
            </w:r>
          </w:p>
        </w:tc>
        <w:tc>
          <w:tcPr>
            <w:tcW w:w="70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76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10%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0</w:t>
            </w:r>
          </w:p>
        </w:tc>
        <w:tc>
          <w:tcPr>
            <w:tcW w:w="62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0%</w:t>
            </w:r>
          </w:p>
        </w:tc>
        <w:tc>
          <w:tcPr>
            <w:tcW w:w="407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3.1</w:t>
            </w:r>
          </w:p>
        </w:tc>
        <w:tc>
          <w:tcPr>
            <w:tcW w:w="85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10%</w:t>
            </w:r>
          </w:p>
        </w:tc>
      </w:tr>
      <w:tr w:rsidR="00BC437C" w:rsidTr="00BC437C">
        <w:trPr>
          <w:trHeight w:val="450"/>
          <w:jc w:val="center"/>
        </w:trPr>
        <w:tc>
          <w:tcPr>
            <w:tcW w:w="72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noWrap/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2%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5%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24%</w:t>
            </w:r>
          </w:p>
        </w:tc>
      </w:tr>
    </w:tbl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524500" cy="3219450"/>
            <wp:effectExtent l="0" t="0" r="0" b="0"/>
            <wp:docPr id="1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аттестатов особого образца за последние три года</w:t>
      </w: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4"/>
        <w:gridCol w:w="1843"/>
        <w:gridCol w:w="2126"/>
        <w:gridCol w:w="2126"/>
      </w:tblGrid>
      <w:tr w:rsidR="00BC437C" w:rsidTr="00BC437C">
        <w:trPr>
          <w:trHeight w:val="27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C6D9F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C6D9F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C6D9F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C6D9F1"/>
              </w:rPr>
              <w:t>2021-2022</w:t>
            </w:r>
          </w:p>
        </w:tc>
      </w:tr>
      <w:tr w:rsidR="00BC437C" w:rsidTr="00BC437C">
        <w:trPr>
          <w:trHeight w:val="25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437C" w:rsidTr="00BC437C">
        <w:trPr>
          <w:trHeight w:val="258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37C" w:rsidRDefault="00BC437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</w:tbl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итоговой аттестации двум обучающимся вручены аттестаты особого образца, что составило 2% от общего числа выпускников. Это ниже уровня прошлого года на 16%.</w:t>
      </w: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целом,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итоговой аттестации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показали средний уровень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подготовки девятиклассников.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  <w:t>Анализ результатов экзаменов позволяет сделать выводы о том, что:</w:t>
      </w: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обеспечено проведение государственной итоговой аттестации в 9 классах;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учащихся, освоивших образовательные программы основного общего образования, проведена организованно, согласно нормативным документам;</w:t>
      </w: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качество знаний и уровень подготовки выпускников 9-х классов по всем предметам свидетельствует о соответствии федеральным государственным образовательным стандартам; 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подготовкой к ГИА и качеством предметной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 9 -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выявил:</w:t>
      </w: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недостаточный уровень работы по индивидуализации и дифференциации обучения учащихся;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низкий уровень мотивации к получению знаний у некоторых обучающихся;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недостаточное стимулирование познавательной активности учащихся со стороны учителей.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 позволяет дать учителям-предметникам следующие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общие рекомендации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успешной подготовки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государственной (итоговой) аттестации. 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Необходимо: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стимулировать познавательную деятельность учащихся, использовать индивидуализацию и дифференциацию обучения учащихся;</w:t>
      </w: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активно применять на уроках и дополнительных занятиях здоровье созидающие технологии, инновационные технологии;</w:t>
      </w: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продолжить работу над повышением качества знаний учащихся;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продолжить работу над повышением собственной методической грамотности;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рабочих программах по предметам предусмотреть повторение учебного материала, проведение диагностических работ по всем предметам;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для эффективной подготовки учащихся к государственной итоговой аттестации документами, определяющими структуру и содержание КИМов2022г., открытым сегментом Федерального банка тестовых заданий, аналитическими отчетами о результатах экзаменов.</w:t>
      </w: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анализа государственной итоговой аттестации можно обозначить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основные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направления деятельности педагогического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коллектива по подготовке к государственной итоговой аттестации на 2022-2023 учебный год:</w:t>
      </w:r>
    </w:p>
    <w:p w:rsidR="00BC437C" w:rsidRDefault="00BC437C" w:rsidP="00BC437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руководителям школьных МО проанализировать результаты государственной итоговой аттестации 2021-2022 учебного года, включить в план работы на 2022-2023 учебный год вопросы подготовки к государственной итоговой аттестации выпускников 9-х классов;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совершенствовать методику преподавания с учетом требований государственной итоговой аттестации;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школы провести классно-обобщающий контроль по плану ВШК в 9-х классах, с целью выявления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ЗУН выпускников и оказание коррекции в знаниях учащихся, нуждающихся в педагогической поддержке;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включить в план ВШК тематический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качеством содержания образования и качеством преподавания истории, обществознания, математики, русского языка и физики  в 8-9 классах;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разнообразить формы работы школьного психолога, преподавателя курса «Твоя профессиональная карьера» по вопросам социализации личности учащегося, самоопределения в отношении будущей профессии;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включить в план работы школьных МО деятельность с одаренными и слабоуспевающими учащимися;</w:t>
      </w:r>
    </w:p>
    <w:p w:rsidR="00BC437C" w:rsidRDefault="00BC437C" w:rsidP="00BC437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учителям-предметникам в педагогической деятельности стимулировать 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обучения и социализации личности.</w:t>
      </w:r>
      <w:proofErr w:type="gramEnd"/>
    </w:p>
    <w:p w:rsidR="00BC437C" w:rsidRDefault="00BC437C" w:rsidP="00BC437C">
      <w:pPr>
        <w:tabs>
          <w:tab w:val="left" w:pos="1095"/>
        </w:tabs>
      </w:pPr>
    </w:p>
    <w:p w:rsidR="00BC437C" w:rsidRDefault="00BC437C"/>
    <w:p w:rsidR="00BC437C" w:rsidRDefault="00BC437C"/>
    <w:p w:rsidR="00BC437C" w:rsidRDefault="00BC437C"/>
    <w:p w:rsidR="00BC437C" w:rsidRPr="00BC437C" w:rsidRDefault="00BC437C">
      <w:pPr>
        <w:rPr>
          <w:rFonts w:ascii="Times New Roman" w:hAnsi="Times New Roman" w:cs="Times New Roman"/>
          <w:b/>
          <w:sz w:val="28"/>
          <w:szCs w:val="28"/>
        </w:rPr>
      </w:pPr>
      <w:r w:rsidRPr="00BC437C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          Х.М. </w:t>
      </w:r>
      <w:proofErr w:type="spellStart"/>
      <w:r w:rsidRPr="00BC437C">
        <w:rPr>
          <w:rFonts w:ascii="Times New Roman" w:hAnsi="Times New Roman" w:cs="Times New Roman"/>
          <w:b/>
          <w:sz w:val="28"/>
          <w:szCs w:val="28"/>
        </w:rPr>
        <w:t>Темирханова</w:t>
      </w:r>
      <w:proofErr w:type="spellEnd"/>
    </w:p>
    <w:sectPr w:rsidR="00BC437C" w:rsidRPr="00BC437C" w:rsidSect="00DB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37C"/>
    <w:rsid w:val="00BC437C"/>
    <w:rsid w:val="00DB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C43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u="none" strike="noStrike" baseline="0">
                <a:solidFill>
                  <a:srgbClr val="FF0000"/>
                </a:solidFill>
                <a:effectLst/>
              </a:rPr>
              <a:t>Сравнение качества обучения выпускников 9 классов за последние 3 года (по итогам года).</a:t>
            </a:r>
            <a:endParaRPr lang="ru-RU" sz="1100">
              <a:solidFill>
                <a:srgbClr val="FF0000"/>
              </a:solidFill>
            </a:endParaRPr>
          </a:p>
        </c:rich>
      </c:tx>
      <c:spPr>
        <a:noFill/>
        <a:ln>
          <a:noFill/>
        </a:ln>
        <a:effectLst/>
      </c:spPr>
    </c:title>
    <c:view3D>
      <c:rotX val="0"/>
      <c:rotY val="10"/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0092592592592591E-2"/>
                  <c:y val="-3.174603174603171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631-4218-9A93-3F7466C059B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3148148148148147E-2"/>
                  <c:y val="-2.7777777777778061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631-4218-9A93-3F7466C059B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3148148148148064E-2"/>
                  <c:y val="-1.9841269841269923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631-4218-9A93-3F7466C059B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8518518518518583E-2"/>
                  <c:y val="-2.380952380952390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631-4218-9A93-3F7466C059B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04166666666665E-2"/>
                  <c:y val="-2.380952380952382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293981481481481E-2"/>
                      <c:h val="7.9722222222222222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38</c:v>
                </c:pt>
                <c:pt idx="1">
                  <c:v>42</c:v>
                </c:pt>
                <c:pt idx="2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631-4218-9A93-3F7466C059B7}"/>
            </c:ext>
          </c:extLst>
        </c:ser>
        <c:gapWidth val="219"/>
        <c:shape val="box"/>
        <c:axId val="93229440"/>
        <c:axId val="93230976"/>
        <c:axId val="0"/>
      </c:bar3DChart>
      <c:catAx>
        <c:axId val="932294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230976"/>
        <c:crosses val="autoZero"/>
        <c:auto val="1"/>
        <c:lblAlgn val="ctr"/>
        <c:lblOffset val="100"/>
      </c:catAx>
      <c:valAx>
        <c:axId val="932309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229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2001</Words>
  <Characters>11408</Characters>
  <Application>Microsoft Office Word</Application>
  <DocSecurity>0</DocSecurity>
  <Lines>95</Lines>
  <Paragraphs>26</Paragraphs>
  <ScaleCrop>false</ScaleCrop>
  <Company/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2023-10-31T17:47:00Z</dcterms:created>
  <dcterms:modified xsi:type="dcterms:W3CDTF">2023-10-31T17:49:00Z</dcterms:modified>
</cp:coreProperties>
</file>